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"/>
        </w:rPr>
      </w:pPr>
      <w:bookmarkStart w:id="1" w:name="OLE_LINK4"/>
      <w:r>
        <w:rPr>
          <w:sz w:val="2"/>
        </w:rPr>
        <w:t xml:space="preserve">                                  </w:t>
      </w:r>
      <w:bookmarkEnd w:id="1"/>
    </w:p>
    <w:p w14:paraId="09000000">
      <w:pPr>
        <w:ind/>
        <w:jc w:val="center"/>
        <w:rPr>
          <w:sz w:val="2"/>
        </w:rPr>
      </w:pPr>
    </w:p>
    <w:p w14:paraId="0A000000">
      <w:pPr>
        <w:ind/>
        <w:jc w:val="center"/>
        <w:rPr>
          <w:sz w:val="2"/>
        </w:rPr>
      </w:pPr>
    </w:p>
    <w:p w14:paraId="0B000000">
      <w:pPr>
        <w:ind/>
        <w:jc w:val="center"/>
        <w:rPr>
          <w:sz w:val="2"/>
        </w:rPr>
      </w:pPr>
    </w:p>
    <w:p w14:paraId="0C000000">
      <w:pPr>
        <w:ind/>
        <w:jc w:val="center"/>
        <w:rPr>
          <w:sz w:val="2"/>
        </w:rPr>
      </w:pPr>
    </w:p>
    <w:p w14:paraId="0D000000">
      <w:pPr>
        <w:ind/>
        <w:jc w:val="center"/>
        <w:rPr>
          <w:sz w:val="2"/>
        </w:rPr>
      </w:pPr>
    </w:p>
    <w:p w14:paraId="0E000000">
      <w:pPr>
        <w:ind/>
        <w:jc w:val="center"/>
        <w:rPr>
          <w:sz w:val="2"/>
        </w:rPr>
      </w:pPr>
    </w:p>
    <w:p w14:paraId="0F000000">
      <w:pPr>
        <w:ind/>
        <w:jc w:val="center"/>
        <w:rPr>
          <w:sz w:val="2"/>
        </w:rPr>
      </w:pPr>
    </w:p>
    <w:p w14:paraId="10000000">
      <w:pPr>
        <w:ind/>
        <w:jc w:val="center"/>
        <w:rPr>
          <w:sz w:val="2"/>
        </w:rPr>
      </w:pPr>
    </w:p>
    <w:p w14:paraId="11000000">
      <w:pPr>
        <w:ind/>
        <w:jc w:val="center"/>
        <w:rPr>
          <w:sz w:val="2"/>
        </w:rPr>
      </w:pPr>
    </w:p>
    <w:p w14:paraId="12000000">
      <w:pPr>
        <w:ind/>
        <w:jc w:val="center"/>
        <w:rPr>
          <w:b w:val="1"/>
          <w:spacing w:val="-11"/>
          <w:sz w:val="2"/>
        </w:rPr>
      </w:pPr>
    </w:p>
    <w:p w14:paraId="13000000">
      <w:pPr>
        <w:pStyle w:val="Style_3"/>
        <w:rPr>
          <w:color w:val="191919"/>
        </w:rPr>
      </w:pPr>
      <w:r>
        <w:rPr>
          <w:color w:val="191919"/>
        </w:rPr>
        <w:t xml:space="preserve">     </w:t>
      </w:r>
      <w:r>
        <w:rPr>
          <w:color w:val="191919"/>
        </w:rPr>
        <w:t xml:space="preserve">                                  </w:t>
      </w:r>
      <w:r>
        <w:rPr>
          <w:color w:val="191919"/>
        </w:rPr>
        <w:t xml:space="preserve">           </w:t>
      </w:r>
      <w:r>
        <w:rPr>
          <w:color w:val="191919"/>
        </w:rPr>
        <w:t xml:space="preserve">           </w:t>
      </w:r>
      <w:r>
        <w:rPr>
          <w:color w:val="191919"/>
        </w:rPr>
        <w:t xml:space="preserve"> </w:t>
      </w:r>
      <w:r>
        <w:rPr>
          <w:color w:val="191919"/>
        </w:rPr>
        <w:t xml:space="preserve"> </w:t>
      </w:r>
      <w:r>
        <w:rPr>
          <w:color w:val="191919"/>
        </w:rPr>
        <w:t xml:space="preserve">                                          </w:t>
      </w:r>
    </w:p>
    <w:p w14:paraId="14000000">
      <w:pPr>
        <w:pStyle w:val="Style_3"/>
        <w:ind/>
        <w:jc w:val="left"/>
        <w:rPr>
          <w:color w:val="191919"/>
        </w:rPr>
      </w:pPr>
      <w:r>
        <w:rPr>
          <w:color w:val="191919"/>
        </w:rPr>
        <w:t xml:space="preserve">                         </w:t>
      </w:r>
      <w:r>
        <w:rPr>
          <w:color w:val="191919"/>
        </w:rPr>
        <w:t xml:space="preserve"> </w:t>
      </w:r>
      <w:r>
        <w:rPr>
          <w:color w:val="191919"/>
        </w:rPr>
        <w:t xml:space="preserve">Администрация </w:t>
      </w:r>
      <w:r>
        <w:rPr>
          <w:color w:val="191919"/>
        </w:rPr>
        <w:t xml:space="preserve">               </w:t>
      </w:r>
    </w:p>
    <w:p w14:paraId="15000000">
      <w:pPr>
        <w:pStyle w:val="Style_3"/>
        <w:rPr>
          <w:color w:val="191919"/>
        </w:rPr>
      </w:pPr>
      <w:r>
        <w:rPr>
          <w:color w:val="191919"/>
        </w:rPr>
        <w:t xml:space="preserve">сельского поселения «Красновеликанское» </w:t>
      </w:r>
    </w:p>
    <w:p w14:paraId="16000000">
      <w:pPr>
        <w:pStyle w:val="Style_3"/>
        <w:rPr>
          <w:color w:val="191919"/>
        </w:rPr>
      </w:pPr>
      <w:r>
        <w:rPr>
          <w:color w:val="191919"/>
        </w:rPr>
        <w:t xml:space="preserve">муниципального района </w:t>
      </w:r>
      <w:r>
        <w:rPr>
          <w:color w:val="191919"/>
        </w:rPr>
        <w:t>«</w:t>
      </w:r>
      <w:r>
        <w:rPr>
          <w:color w:val="191919"/>
        </w:rPr>
        <w:t>З</w:t>
      </w:r>
      <w:r>
        <w:rPr>
          <w:color w:val="191919"/>
        </w:rPr>
        <w:t>абайкальский район»</w:t>
      </w:r>
    </w:p>
    <w:p w14:paraId="17000000">
      <w:pPr>
        <w:ind/>
        <w:jc w:val="center"/>
        <w:rPr>
          <w:i w:val="1"/>
          <w:spacing w:val="-11"/>
        </w:rPr>
      </w:pPr>
    </w:p>
    <w:p w14:paraId="18000000">
      <w:pPr>
        <w:ind/>
        <w:jc w:val="center"/>
        <w:rPr>
          <w:b w:val="1"/>
          <w:spacing w:val="-11"/>
          <w:sz w:val="2"/>
        </w:rPr>
      </w:pPr>
    </w:p>
    <w:p w14:paraId="19000000">
      <w:pPr>
        <w:ind/>
        <w:jc w:val="center"/>
        <w:rPr>
          <w:b w:val="1"/>
          <w:spacing w:val="-11"/>
          <w:sz w:val="2"/>
        </w:rPr>
      </w:pPr>
    </w:p>
    <w:p w14:paraId="1A000000">
      <w:pPr>
        <w:ind/>
        <w:jc w:val="center"/>
        <w:rPr>
          <w:b w:val="1"/>
          <w:spacing w:val="-11"/>
          <w:sz w:val="2"/>
        </w:rPr>
      </w:pPr>
    </w:p>
    <w:p w14:paraId="1B000000">
      <w:pPr>
        <w:ind/>
        <w:jc w:val="center"/>
        <w:rPr>
          <w:b w:val="1"/>
          <w:spacing w:val="-11"/>
          <w:sz w:val="2"/>
        </w:rPr>
      </w:pPr>
    </w:p>
    <w:p w14:paraId="1C000000">
      <w:pPr>
        <w:ind/>
        <w:jc w:val="center"/>
        <w:rPr>
          <w:b w:val="1"/>
          <w:spacing w:val="-14"/>
          <w:sz w:val="35"/>
        </w:rPr>
      </w:pPr>
    </w:p>
    <w:p w14:paraId="1D000000">
      <w:pPr>
        <w:ind/>
        <w:jc w:val="center"/>
        <w:rPr>
          <w:b w:val="1"/>
          <w:spacing w:val="-14"/>
          <w:sz w:val="32"/>
        </w:rPr>
      </w:pPr>
      <w:r>
        <w:rPr>
          <w:b w:val="1"/>
          <w:spacing w:val="-14"/>
          <w:sz w:val="32"/>
        </w:rPr>
        <w:t>ПОСТАНОВЛЕНИЕ</w:t>
      </w:r>
    </w:p>
    <w:p w14:paraId="1E000000">
      <w:pPr>
        <w:ind/>
        <w:jc w:val="both"/>
      </w:pPr>
    </w:p>
    <w:p w14:paraId="1F000000">
      <w:pPr>
        <w:ind/>
        <w:jc w:val="both"/>
        <w:rPr>
          <w:color w:val="FF0000"/>
        </w:rPr>
      </w:pPr>
      <w:r>
        <w:t xml:space="preserve">       </w:t>
      </w:r>
      <w:r>
        <w:t xml:space="preserve"> </w:t>
      </w:r>
      <w:r>
        <w:t xml:space="preserve">    12.09.</w:t>
      </w:r>
      <w:r>
        <w:t xml:space="preserve"> </w:t>
      </w:r>
      <w:r>
        <w:t>20</w:t>
      </w:r>
      <w:r>
        <w:t>2</w:t>
      </w:r>
      <w:r>
        <w:t>4</w:t>
      </w:r>
      <w:r>
        <w:t xml:space="preserve"> год</w:t>
      </w:r>
      <w:r>
        <w:t xml:space="preserve">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 xml:space="preserve"> №</w:t>
      </w:r>
      <w:r>
        <w:t xml:space="preserve"> 23</w:t>
      </w:r>
      <w:r>
        <w:t xml:space="preserve"> </w:t>
      </w:r>
      <w:r>
        <w:t xml:space="preserve"> </w:t>
      </w:r>
    </w:p>
    <w:p w14:paraId="20000000">
      <w:pPr>
        <w:ind/>
        <w:jc w:val="center"/>
        <w:rPr>
          <w:i w:val="1"/>
          <w:spacing w:val="-6"/>
        </w:rPr>
      </w:pPr>
    </w:p>
    <w:p w14:paraId="21000000">
      <w:pPr>
        <w:ind/>
        <w:jc w:val="center"/>
        <w:rPr>
          <w:b w:val="1"/>
          <w:color w:val="191919"/>
          <w:sz w:val="32"/>
        </w:rPr>
      </w:pPr>
      <w:r>
        <w:rPr>
          <w:b w:val="1"/>
          <w:color w:val="191919"/>
          <w:sz w:val="32"/>
        </w:rPr>
        <w:t>п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с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т. Красный Великан</w:t>
      </w:r>
    </w:p>
    <w:p w14:paraId="22000000">
      <w:pPr>
        <w:ind/>
        <w:jc w:val="both"/>
        <w:rPr>
          <w:b w:val="1"/>
          <w:sz w:val="18"/>
        </w:rPr>
      </w:pPr>
    </w:p>
    <w:p w14:paraId="23000000">
      <w:pPr>
        <w:ind/>
        <w:jc w:val="both"/>
        <w:rPr>
          <w:b w:val="1"/>
          <w:caps w:val="1"/>
          <w:sz w:val="18"/>
        </w:rPr>
      </w:pPr>
    </w:p>
    <w:p w14:paraId="24000000">
      <w:pPr>
        <w:ind/>
        <w:jc w:val="both"/>
        <w:rPr>
          <w:b w:val="1"/>
          <w:caps w:val="1"/>
          <w:sz w:val="18"/>
        </w:rPr>
      </w:pPr>
    </w:p>
    <w:p w14:paraId="25000000">
      <w:pPr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 внесении</w:t>
      </w:r>
      <w:r>
        <w:rPr>
          <w:b w:val="1"/>
        </w:rPr>
        <w:t xml:space="preserve"> изменений в  Постановление № </w:t>
      </w:r>
      <w:r>
        <w:rPr>
          <w:b w:val="1"/>
        </w:rPr>
        <w:t xml:space="preserve"> </w:t>
      </w:r>
      <w:r>
        <w:rPr>
          <w:b w:val="1"/>
        </w:rPr>
        <w:t xml:space="preserve"> 29</w:t>
      </w:r>
      <w:r>
        <w:rPr>
          <w:b w:val="1"/>
        </w:rPr>
        <w:t xml:space="preserve"> от </w:t>
      </w:r>
      <w:r>
        <w:rPr>
          <w:b w:val="1"/>
        </w:rPr>
        <w:t xml:space="preserve"> </w:t>
      </w:r>
      <w:r>
        <w:rPr>
          <w:b w:val="1"/>
        </w:rPr>
        <w:t xml:space="preserve"> 18.06.2012</w:t>
      </w:r>
      <w:r>
        <w:rPr>
          <w:b w:val="1"/>
        </w:rPr>
        <w:t xml:space="preserve"> года </w:t>
      </w:r>
    </w:p>
    <w:p w14:paraId="26000000">
      <w:pPr>
        <w:rPr>
          <w:b w:val="1"/>
        </w:rPr>
      </w:pPr>
      <w:r>
        <w:rPr>
          <w:b w:val="1"/>
        </w:rPr>
        <w:t>«</w:t>
      </w:r>
      <w:r>
        <w:rPr>
          <w:b w:val="1"/>
        </w:rPr>
        <w:t>Об утверждении административного регламента по предоставлению муниципальной услуги «Предоставления разрешения на условно разрешенный вид использований земельного участка или объекта капитального строительства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b w:val="1"/>
        </w:rPr>
        <w:t>»</w:t>
      </w:r>
      <w:r>
        <w:rPr>
          <w:b w:val="1"/>
        </w:rPr>
        <w:t xml:space="preserve"> </w:t>
      </w:r>
    </w:p>
    <w:p w14:paraId="27000000">
      <w:pPr>
        <w:ind/>
        <w:jc w:val="center"/>
        <w:rPr>
          <w:b w:val="1"/>
        </w:rPr>
      </w:pPr>
    </w:p>
    <w:p w14:paraId="28000000">
      <w:pPr>
        <w:ind/>
        <w:jc w:val="center"/>
      </w:pPr>
    </w:p>
    <w:p w14:paraId="29000000">
      <w:pPr>
        <w:ind/>
        <w:jc w:val="both"/>
        <w:rPr>
          <w:b w:val="1"/>
        </w:rPr>
      </w:pPr>
      <w:r>
        <w:t xml:space="preserve"> </w:t>
      </w:r>
      <w:r>
        <w:t xml:space="preserve">     В соответствии с </w:t>
      </w:r>
      <w:r>
        <w:t xml:space="preserve"> пунктами 1-6ч.1 ст.10 </w:t>
      </w:r>
      <w:r>
        <w:t>Федеральным законом от 27 июля 2010 года № 210-ФЗ «Об организации предоставления государственны</w:t>
      </w:r>
      <w:r>
        <w:t>х и муниципальных услуг», а</w:t>
      </w:r>
      <w:r>
        <w:t>дминистрация сельского поселения</w:t>
      </w:r>
      <w:r>
        <w:t xml:space="preserve"> </w:t>
      </w:r>
      <w:r>
        <w:t>«Красновеликанское» постановляет:</w:t>
      </w:r>
    </w:p>
    <w:p w14:paraId="2A000000">
      <w:pPr>
        <w:ind/>
        <w:jc w:val="both"/>
      </w:pPr>
    </w:p>
    <w:p w14:paraId="2B000000">
      <w:pPr>
        <w:ind/>
        <w:jc w:val="both"/>
      </w:pPr>
      <w:r>
        <w:t xml:space="preserve"> </w:t>
      </w:r>
      <w:r>
        <w:t>1.</w:t>
      </w:r>
      <w:r>
        <w:t>В п</w:t>
      </w:r>
      <w:r>
        <w:t xml:space="preserve">остановлении </w:t>
      </w:r>
      <w:r>
        <w:t xml:space="preserve"> </w:t>
      </w:r>
      <w:r>
        <w:t xml:space="preserve">№ </w:t>
      </w:r>
      <w:r>
        <w:t xml:space="preserve"> 29</w:t>
      </w:r>
      <w:r>
        <w:t xml:space="preserve">  от </w:t>
      </w:r>
      <w:r>
        <w:t xml:space="preserve"> </w:t>
      </w:r>
      <w:r>
        <w:t xml:space="preserve"> 18</w:t>
      </w:r>
      <w:r>
        <w:t>.</w:t>
      </w:r>
      <w:r>
        <w:t xml:space="preserve"> 06</w:t>
      </w:r>
      <w:r>
        <w:t>.</w:t>
      </w:r>
      <w:r>
        <w:t xml:space="preserve"> 2012</w:t>
      </w:r>
      <w:r>
        <w:t xml:space="preserve">г. </w:t>
      </w:r>
      <w:r>
        <w:t xml:space="preserve"> </w:t>
      </w:r>
      <w:r>
        <w:t>Об утверждении административного регламента по предоставлению муниципальной услуги «Предоставления разрешения на условно разрешенный вид использований земельного участка или объ</w:t>
      </w:r>
      <w:r>
        <w:t xml:space="preserve">екта капитального строительства </w:t>
      </w:r>
      <w:r>
        <w:t>»</w:t>
      </w:r>
      <w:r>
        <w:t xml:space="preserve"> внести следующие изменения:</w:t>
      </w:r>
    </w:p>
    <w:p w14:paraId="2C000000">
      <w:pPr>
        <w:ind/>
        <w:jc w:val="both"/>
      </w:pPr>
      <w:r>
        <w:t>1)</w:t>
      </w:r>
      <w:r>
        <w:t xml:space="preserve"> добавить </w:t>
      </w:r>
      <w:r>
        <w:rPr>
          <w:b w:val="1"/>
        </w:rPr>
        <w:t xml:space="preserve"> </w:t>
      </w:r>
      <w:r>
        <w:t xml:space="preserve"> </w:t>
      </w:r>
      <w:r>
        <w:t>п.</w:t>
      </w:r>
      <w:r>
        <w:t xml:space="preserve"> </w:t>
      </w:r>
      <w:r>
        <w:t xml:space="preserve"> 2.6.5</w:t>
      </w:r>
      <w:r>
        <w:t xml:space="preserve"> для предоставления муниципальных услуг, орган ,предоставляющий муниципальную услугу , вправе :  </w:t>
      </w:r>
      <w:r>
        <w:rPr>
          <w:b w:val="1"/>
        </w:rPr>
        <w:t xml:space="preserve"> </w:t>
      </w:r>
      <w:r>
        <w:rPr>
          <w:b w:val="1"/>
        </w:rPr>
        <w:t xml:space="preserve"> </w:t>
      </w:r>
    </w:p>
    <w:p w14:paraId="2D000000">
      <w:pPr>
        <w:widowControl w:val="0"/>
        <w:ind w:firstLine="540" w:left="0"/>
        <w:jc w:val="both"/>
      </w:pPr>
      <w:r>
        <w:t xml:space="preserve"> 1) проводить мероприятия ,направленные на подготовку результатов предоставления муниципальных услуг, в том числе направлять межведомственные запросы,</w:t>
      </w:r>
      <w:r>
        <w:t xml:space="preserve"> </w:t>
      </w:r>
      <w:bookmarkStart w:id="2" w:name="_GoBack"/>
      <w:bookmarkEnd w:id="2"/>
      <w:r>
        <w:t>получать на них ответы , после чего уведомлять заявителя о возможности  подать запрос о предоставлении соответствующей услуги для немедленного получения результата предоставления такой услуги ;</w:t>
      </w:r>
    </w:p>
    <w:p w14:paraId="2E000000">
      <w:pPr>
        <w:widowControl w:val="0"/>
        <w:ind w:firstLine="540" w:left="0"/>
        <w:jc w:val="both"/>
      </w:pPr>
      <w:r>
        <w:t>2) при условии наличия запроса  заявителя о предоставлении муниципальных услуг, в отношении которых у заявителя могут появиться основания для их предоставления ему в будущем</w:t>
      </w:r>
      <w:r>
        <w:t xml:space="preserve"> , проводить мероприятия , направленные на формирование  результата  предоставления </w:t>
      </w:r>
      <w:r>
        <w:t>соответствующей услуги, а также  предоставлять его заявителю с использованием  портала государственных и муниципальных услуг и уведомлять заявителя о проведенных мероприятиях.</w:t>
      </w:r>
      <w:r>
        <w:t xml:space="preserve"> </w:t>
      </w:r>
    </w:p>
    <w:p w14:paraId="2F000000">
      <w:r>
        <w:t>2)</w:t>
      </w:r>
      <w:r>
        <w:t xml:space="preserve">добавить </w:t>
      </w:r>
      <w:r>
        <w:t xml:space="preserve"> п</w:t>
      </w:r>
      <w:r>
        <w:t xml:space="preserve">  3.2.5</w:t>
      </w:r>
      <w:r>
        <w:t xml:space="preserve"> </w:t>
      </w:r>
      <w:r>
        <w:t xml:space="preserve"> </w:t>
      </w:r>
      <w:r>
        <w:t xml:space="preserve"> </w:t>
      </w:r>
      <w:r>
        <w:t xml:space="preserve"> в следующей редакции:</w:t>
      </w:r>
    </w:p>
    <w:p w14:paraId="30000000">
      <w:r>
        <w:t xml:space="preserve">     </w:t>
      </w:r>
      <w:r>
        <w:t>1) предоставление в установленном порядке информации заявителям  и обеспечение доступа  заявителей  к сведениям о муниципальных услугах;</w:t>
      </w:r>
    </w:p>
    <w:p w14:paraId="31000000">
      <w:r>
        <w:t xml:space="preserve">     </w:t>
      </w:r>
      <w:r>
        <w:t>2) подача заявления о предоставлении муниципальной услуги  и иных документов,</w:t>
      </w:r>
      <w:r>
        <w:t xml:space="preserve"> </w:t>
      </w:r>
      <w:r>
        <w:t xml:space="preserve">необходимых для предоставления муниципальной услуги , в том числе документов и информации ,электронные образы которых ранее были заверены в соответствии с п.7.2 ч.1 ст.16 Закона « 210-ФЗ , </w:t>
      </w:r>
      <w:r>
        <w:t>и прием таких запросов о предоставлении муниципальной услуги и документов органом, предоставляющим  муниципальную услугу , либо подведомственной органу  местного самоуправления  организацией , участвующей в предоставлении муниципальной услуги , с использованием  информационно-технологической и коммуникационной инфраструктуры 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14:paraId="32000000">
      <w:r>
        <w:t xml:space="preserve">      </w:t>
      </w:r>
      <w:r>
        <w:t>3) получение заявителем сведений о ходе выполнения запроса о предоставлении муниципальной услуги;</w:t>
      </w:r>
    </w:p>
    <w:p w14:paraId="33000000">
      <w:r>
        <w:t xml:space="preserve">      </w:t>
      </w:r>
      <w:r>
        <w:t>4)</w:t>
      </w:r>
      <w:r>
        <w:t xml:space="preserve"> взаимодействие органов , предоставляющих  муниципальные услуги , иных органов местного самоуправления , организаций ,участвующих  в предоставлении предусмотренных ч.1 ст.1 Закона № 210- ФЗ муниципальных услуг;</w:t>
      </w:r>
    </w:p>
    <w:p w14:paraId="34000000">
      <w:r>
        <w:t xml:space="preserve">      5) получение заявителем результата предоставления муниципальной услуги, если иное не установлено федеральным законом;</w:t>
      </w:r>
    </w:p>
    <w:p w14:paraId="35000000">
      <w:r>
        <w:t xml:space="preserve">      6) иные действия</w:t>
      </w:r>
      <w:r>
        <w:t>, необходимые для предоставления муниципальной услуги.</w:t>
      </w:r>
    </w:p>
    <w:p w14:paraId="36000000">
      <w:r>
        <w:t xml:space="preserve">3) п. 5.6 </w:t>
      </w:r>
      <w:r>
        <w:t xml:space="preserve"> читать в следующей редакции:</w:t>
      </w:r>
    </w:p>
    <w:p w14:paraId="37000000">
      <w:r>
        <w:t xml:space="preserve"> В случае признания жалобы подлежащей удовлетворению в ответе заявител</w:t>
      </w:r>
      <w:r>
        <w:t>ю дается информация о действиях</w:t>
      </w:r>
      <w:r>
        <w:t>, осуществляемых органом, предоставляющим муниципальную услугу , в целях незамедлительного устранения выявленных  нарушений при оказании  государственной или муниципальной услуги 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38000000">
      <w:r>
        <w:t>При признании жалобы</w:t>
      </w:r>
      <w:r>
        <w:t xml:space="preserve"> </w:t>
      </w:r>
      <w:r>
        <w:t xml:space="preserve"> не подлежащей удовлетворению в ответе заявителю необходимо давать аргументированные разъяснения о причинах </w:t>
      </w:r>
      <w:r>
        <w:t>принятого решения, а также указывать информацию о порядке обжалования принятого решения.</w:t>
      </w:r>
      <w:r>
        <w:t xml:space="preserve"> </w:t>
      </w:r>
    </w:p>
    <w:p w14:paraId="39000000">
      <w:r>
        <w:t xml:space="preserve"> </w:t>
      </w:r>
      <w:r>
        <w:t xml:space="preserve"> </w:t>
      </w:r>
      <w:r>
        <w:t>2</w:t>
      </w:r>
      <w:r>
        <w:t xml:space="preserve">. Обнародовать </w:t>
      </w:r>
      <w:r>
        <w:tab/>
      </w:r>
      <w:r>
        <w:t xml:space="preserve">настоящее постановление  в установленном порядке и разместить на сайте муниципального района «Забайкальский район» в сети интернет. </w:t>
      </w:r>
    </w:p>
    <w:p w14:paraId="3A000000">
      <w:pPr>
        <w:ind/>
        <w:jc w:val="both"/>
        <w:rPr>
          <w:color w:val="000000"/>
        </w:rPr>
      </w:pPr>
      <w:r>
        <w:t xml:space="preserve"> </w:t>
      </w:r>
      <w:r>
        <w:t>3</w:t>
      </w:r>
      <w:r>
        <w:t xml:space="preserve">. </w:t>
      </w:r>
      <w:r>
        <w:t>Контроль за исполнением настоящего Постановления оставляю за собой.</w:t>
      </w:r>
    </w:p>
    <w:p w14:paraId="3B000000">
      <w:pPr>
        <w:ind/>
        <w:jc w:val="both"/>
        <w:rPr>
          <w:i w:val="1"/>
        </w:rPr>
      </w:pPr>
    </w:p>
    <w:p w14:paraId="3C000000">
      <w:pPr>
        <w:ind/>
        <w:jc w:val="both"/>
        <w:outlineLvl w:val="0"/>
      </w:pPr>
      <w:r>
        <w:t>Глава сельского поселения</w:t>
      </w:r>
    </w:p>
    <w:p w14:paraId="3D000000">
      <w:pPr>
        <w:ind/>
        <w:outlineLvl w:val="0"/>
      </w:pPr>
      <w:r>
        <w:t>«Красновеликанское»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А.В.  Марельтуев</w:t>
      </w:r>
      <w:r>
        <w:rPr>
          <w:i w:val="1"/>
        </w:rPr>
        <w:t xml:space="preserve"> </w:t>
      </w:r>
    </w:p>
    <w:sectPr>
      <w:headerReference r:id="rId3" w:type="default"/>
      <w:headerReference r:id="rId5" w:type="first"/>
      <w:headerReference r:id="rId1" w:type="even"/>
      <w:footerReference r:id="rId4" w:type="default"/>
      <w:footerReference r:id="rId6" w:type="first"/>
      <w:footerReference r:id="rId2" w:type="even"/>
      <w:type w:val="continuous"/>
      <w:pgSz w:h="16838" w:orient="portrait" w:w="11906"/>
      <w:pgMar w:bottom="567" w:footer="720" w:gutter="0" w:header="720" w:left="1843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color w:val="000000"/>
      <w:sz w:val="28"/>
    </w:rPr>
  </w:style>
  <w:style w:default="1" w:styleId="Style_4_ch" w:type="character">
    <w:name w:val="Normal"/>
    <w:link w:val="Style_4"/>
    <w:rPr>
      <w:color w:val="000000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Знак Знак Знак"/>
    <w:basedOn w:val="Style_4"/>
    <w:link w:val="Style_9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9_ch" w:type="character">
    <w:name w:val="Знак Знак Знак"/>
    <w:basedOn w:val="Style_4_ch"/>
    <w:link w:val="Style_9"/>
    <w:rPr>
      <w:rFonts w:ascii="Verdana" w:hAnsi="Verdana"/>
      <w:color w:val="000000"/>
      <w:sz w:val="20"/>
    </w:rPr>
  </w:style>
  <w:style w:styleId="Style_10" w:type="paragraph">
    <w:name w:val="Прижатый влево"/>
    <w:basedOn w:val="Style_4"/>
    <w:next w:val="Style_4"/>
    <w:link w:val="Style_10_ch"/>
    <w:pPr>
      <w:widowControl w:val="0"/>
      <w:ind/>
    </w:pPr>
    <w:rPr>
      <w:rFonts w:ascii="Arial" w:hAnsi="Arial"/>
      <w:color w:val="000000"/>
      <w:sz w:val="24"/>
    </w:rPr>
  </w:style>
  <w:style w:styleId="Style_10_ch" w:type="character">
    <w:name w:val="Прижатый влево"/>
    <w:basedOn w:val="Style_4_ch"/>
    <w:link w:val="Style_10"/>
    <w:rPr>
      <w:rFonts w:ascii="Arial" w:hAnsi="Arial"/>
      <w:color w:val="000000"/>
      <w:sz w:val="24"/>
    </w:rPr>
  </w:style>
  <w:style w:styleId="Style_11" w:type="paragraph">
    <w:name w:val="ConsNormal"/>
    <w:link w:val="Style_11_ch"/>
    <w:pPr>
      <w:widowControl w:val="0"/>
      <w:ind w:firstLine="720" w:left="0" w:right="19772"/>
    </w:pPr>
    <w:rPr>
      <w:rFonts w:ascii="Arial" w:hAnsi="Arial"/>
    </w:rPr>
  </w:style>
  <w:style w:styleId="Style_11_ch" w:type="character">
    <w:name w:val="ConsNormal"/>
    <w:link w:val="Style_11"/>
    <w:rPr>
      <w:rFonts w:ascii="Arial" w:hAnsi="Arial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Таблицы (моноширинный)"/>
    <w:basedOn w:val="Style_4"/>
    <w:next w:val="Style_4"/>
    <w:link w:val="Style_14_ch"/>
    <w:pPr>
      <w:widowControl w:val="0"/>
      <w:ind/>
      <w:jc w:val="both"/>
    </w:pPr>
    <w:rPr>
      <w:rFonts w:ascii="Courier New" w:hAnsi="Courier New"/>
      <w:color w:val="000000"/>
      <w:sz w:val="24"/>
    </w:rPr>
  </w:style>
  <w:style w:styleId="Style_14_ch" w:type="character">
    <w:name w:val="Таблицы (моноширинный)"/>
    <w:basedOn w:val="Style_4_ch"/>
    <w:link w:val="Style_14"/>
    <w:rPr>
      <w:rFonts w:ascii="Courier New" w:hAnsi="Courier New"/>
      <w:color w:val="000000"/>
      <w:sz w:val="24"/>
    </w:rPr>
  </w:style>
  <w:style w:styleId="Style_15" w:type="paragraph">
    <w:name w:val="Гипертекстовая ссылка"/>
    <w:link w:val="Style_15_ch"/>
    <w:rPr>
      <w:b w:val="1"/>
      <w:color w:val="008000"/>
    </w:rPr>
  </w:style>
  <w:style w:styleId="Style_15_ch" w:type="character">
    <w:name w:val="Гипертекстовая ссылка"/>
    <w:link w:val="Style_15"/>
    <w:rPr>
      <w:b w:val="1"/>
      <w:color w:val="008000"/>
    </w:rPr>
  </w:style>
  <w:style w:styleId="Style_16" w:type="paragraph">
    <w:name w:val="Нормальный (таблица)"/>
    <w:basedOn w:val="Style_4"/>
    <w:next w:val="Style_4"/>
    <w:link w:val="Style_16_ch"/>
    <w:pPr>
      <w:widowControl w:val="0"/>
      <w:ind/>
      <w:jc w:val="both"/>
    </w:pPr>
    <w:rPr>
      <w:rFonts w:ascii="Arial" w:hAnsi="Arial"/>
      <w:color w:val="000000"/>
      <w:sz w:val="24"/>
    </w:rPr>
  </w:style>
  <w:style w:styleId="Style_16_ch" w:type="character">
    <w:name w:val="Нормальный (таблица)"/>
    <w:basedOn w:val="Style_4_ch"/>
    <w:link w:val="Style_16"/>
    <w:rPr>
      <w:rFonts w:ascii="Arial" w:hAnsi="Arial"/>
      <w:color w:val="000000"/>
      <w:sz w:val="24"/>
    </w:rPr>
  </w:style>
  <w:style w:styleId="Style_17" w:type="paragraph">
    <w:name w:val="Body Text Indent 2"/>
    <w:basedOn w:val="Style_4"/>
    <w:link w:val="Style_17_ch"/>
    <w:pPr>
      <w:spacing w:after="120" w:line="480" w:lineRule="auto"/>
      <w:ind w:firstLine="0" w:left="283"/>
    </w:pPr>
  </w:style>
  <w:style w:styleId="Style_17_ch" w:type="character">
    <w:name w:val="Body Text Indent 2"/>
    <w:basedOn w:val="Style_4_ch"/>
    <w:link w:val="Style_17"/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Знак Знак Знак1"/>
    <w:basedOn w:val="Style_4"/>
    <w:link w:val="Style_19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19_ch" w:type="character">
    <w:name w:val="Знак Знак Знак1"/>
    <w:basedOn w:val="Style_4_ch"/>
    <w:link w:val="Style_19"/>
    <w:rPr>
      <w:rFonts w:ascii="Verdana" w:hAnsi="Verdana"/>
      <w:color w:val="000000"/>
      <w:sz w:val="20"/>
    </w:rPr>
  </w:style>
  <w:style w:styleId="Style_20" w:type="paragraph">
    <w:name w:val="List Paragraph"/>
    <w:basedOn w:val="Style_4"/>
    <w:link w:val="Style_20_ch"/>
    <w:pPr>
      <w:ind w:firstLine="0" w:left="720"/>
      <w:contextualSpacing w:val="1"/>
    </w:pPr>
    <w:rPr>
      <w:color w:val="000000"/>
      <w:sz w:val="20"/>
    </w:rPr>
  </w:style>
  <w:style w:styleId="Style_20_ch" w:type="character">
    <w:name w:val="List Paragraph"/>
    <w:basedOn w:val="Style_4_ch"/>
    <w:link w:val="Style_20"/>
    <w:rPr>
      <w:color w:val="000000"/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trong"/>
    <w:link w:val="Style_23_ch"/>
    <w:rPr>
      <w:b w:val="1"/>
    </w:rPr>
  </w:style>
  <w:style w:styleId="Style_23_ch" w:type="character">
    <w:name w:val="Strong"/>
    <w:link w:val="Style_23"/>
    <w:rPr>
      <w:b w:val="1"/>
    </w:rPr>
  </w:style>
  <w:style w:styleId="Style_24" w:type="paragraph">
    <w:name w:val="heading 1"/>
    <w:basedOn w:val="Style_4"/>
    <w:next w:val="Style_4"/>
    <w:link w:val="Style_24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000080"/>
      <w:sz w:val="24"/>
    </w:rPr>
  </w:style>
  <w:style w:styleId="Style_24_ch" w:type="character">
    <w:name w:val="heading 1"/>
    <w:basedOn w:val="Style_4_ch"/>
    <w:link w:val="Style_24"/>
    <w:rPr>
      <w:rFonts w:ascii="Arial" w:hAnsi="Arial"/>
      <w:b w:val="1"/>
      <w:color w:val="000080"/>
      <w:sz w:val="24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4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Body Text 2"/>
    <w:basedOn w:val="Style_4"/>
    <w:link w:val="Style_29_ch"/>
    <w:pPr>
      <w:spacing w:after="120" w:line="480" w:lineRule="auto"/>
      <w:ind/>
    </w:pPr>
    <w:rPr>
      <w:rFonts w:ascii="Calibri" w:hAnsi="Calibri"/>
      <w:color w:val="000000"/>
      <w:sz w:val="22"/>
    </w:rPr>
  </w:style>
  <w:style w:styleId="Style_29_ch" w:type="character">
    <w:name w:val="Body Text 2"/>
    <w:basedOn w:val="Style_4_ch"/>
    <w:link w:val="Style_29"/>
    <w:rPr>
      <w:rFonts w:ascii="Calibri" w:hAnsi="Calibri"/>
      <w:color w:val="000000"/>
      <w:sz w:val="22"/>
    </w:rPr>
  </w:style>
  <w:style w:styleId="Style_30" w:type="paragraph">
    <w:name w:val="toc 9"/>
    <w:next w:val="Style_4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Цветовое выделение"/>
    <w:link w:val="Style_31_ch"/>
    <w:rPr>
      <w:b w:val="1"/>
      <w:color w:val="000080"/>
    </w:rPr>
  </w:style>
  <w:style w:styleId="Style_31_ch" w:type="character">
    <w:name w:val="Цветовое выделение"/>
    <w:link w:val="Style_31"/>
    <w:rPr>
      <w:b w:val="1"/>
      <w:color w:val="000080"/>
    </w:rPr>
  </w:style>
  <w:style w:styleId="Style_32" w:type="paragraph">
    <w:name w:val="toc 8"/>
    <w:next w:val="Style_4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Balloon Text"/>
    <w:basedOn w:val="Style_4"/>
    <w:link w:val="Style_33_ch"/>
    <w:rPr>
      <w:rFonts w:ascii="Tahoma" w:hAnsi="Tahoma"/>
      <w:sz w:val="16"/>
    </w:rPr>
  </w:style>
  <w:style w:styleId="Style_33_ch" w:type="character">
    <w:name w:val="Balloon Text"/>
    <w:basedOn w:val="Style_4_ch"/>
    <w:link w:val="Style_33"/>
    <w:rPr>
      <w:rFonts w:ascii="Tahoma" w:hAnsi="Tahoma"/>
      <w:sz w:val="16"/>
    </w:rPr>
  </w:style>
  <w:style w:styleId="Style_34" w:type="paragraph">
    <w:name w:val="ConsPlusNormal"/>
    <w:link w:val="Style_34_ch"/>
    <w:rPr>
      <w:rFonts w:ascii="Arial" w:hAnsi="Arial"/>
    </w:rPr>
  </w:style>
  <w:style w:styleId="Style_34_ch" w:type="character">
    <w:name w:val="ConsPlusNormal"/>
    <w:link w:val="Style_34"/>
    <w:rPr>
      <w:rFonts w:ascii="Arial" w:hAnsi="Arial"/>
    </w:rPr>
  </w:style>
  <w:style w:styleId="Style_35" w:type="paragraph">
    <w:name w:val="toc 5"/>
    <w:next w:val="Style_4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next w:val="Style_4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" w:type="paragraph">
    <w:name w:val="Title"/>
    <w:basedOn w:val="Style_4"/>
    <w:link w:val="Style_3_ch"/>
    <w:uiPriority w:val="10"/>
    <w:qFormat/>
    <w:pPr>
      <w:ind/>
      <w:jc w:val="center"/>
    </w:pPr>
    <w:rPr>
      <w:b w:val="1"/>
      <w:color w:val="000000"/>
      <w:sz w:val="40"/>
    </w:rPr>
  </w:style>
  <w:style w:styleId="Style_3_ch" w:type="character">
    <w:name w:val="Title"/>
    <w:basedOn w:val="Style_4_ch"/>
    <w:link w:val="Style_3"/>
    <w:rPr>
      <w:b w:val="1"/>
      <w:color w:val="000000"/>
      <w:sz w:val="40"/>
    </w:rPr>
  </w:style>
  <w:style w:styleId="Style_37" w:type="paragraph">
    <w:name w:val="heading 4"/>
    <w:next w:val="Style_4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basedOn w:val="Style_4"/>
    <w:next w:val="Style_4"/>
    <w:link w:val="Style_38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</w:rPr>
  </w:style>
  <w:style w:styleId="Style_38_ch" w:type="character">
    <w:name w:val="heading 2"/>
    <w:basedOn w:val="Style_4_ch"/>
    <w:link w:val="Style_38"/>
    <w:rPr>
      <w:rFonts w:ascii="Cambria" w:hAnsi="Cambria"/>
      <w:b w:val="1"/>
      <w:i w:val="1"/>
    </w:rPr>
  </w:style>
  <w:style w:styleId="Style_39" w:type="paragraph">
    <w:name w:val="Body Text Indent"/>
    <w:basedOn w:val="Style_4"/>
    <w:link w:val="Style_39_ch"/>
    <w:pPr>
      <w:ind w:firstLine="709" w:left="0"/>
      <w:jc w:val="both"/>
    </w:pPr>
    <w:rPr>
      <w:color w:val="000000"/>
    </w:rPr>
  </w:style>
  <w:style w:styleId="Style_39_ch" w:type="character">
    <w:name w:val="Body Text Indent"/>
    <w:basedOn w:val="Style_4_ch"/>
    <w:link w:val="Style_39"/>
    <w:rPr>
      <w:color w:val="000000"/>
    </w:r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40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2024-09-12T03:19:24Z</dcterms:modified>
</cp:coreProperties>
</file>